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5C6" w:rsidRPr="006B6C5E" w:rsidRDefault="00061C2B" w:rsidP="008275C6">
      <w:pPr>
        <w:pStyle w:val="Heading2"/>
        <w:spacing w:before="0" w:after="0"/>
        <w:jc w:val="center"/>
        <w:rPr>
          <w:rFonts w:ascii="Century Gothic" w:hAnsi="Century Gothic"/>
          <w:i w:val="0"/>
          <w:sz w:val="20"/>
          <w:szCs w:val="20"/>
          <w:lang w:val="fr-FR"/>
        </w:rPr>
      </w:pPr>
      <w:bookmarkStart w:id="0" w:name="_Toc286925030"/>
      <w:bookmarkStart w:id="1" w:name="_Toc287010140"/>
      <w:r>
        <w:rPr>
          <w:rFonts w:ascii="Century Gothic" w:hAnsi="Century Gothic"/>
          <w:i w:val="0"/>
          <w:sz w:val="20"/>
          <w:szCs w:val="20"/>
          <w:lang w:val="fr-FR"/>
        </w:rPr>
        <w:t>Paquet</w:t>
      </w:r>
      <w:r w:rsidR="00C241C3" w:rsidRPr="003A26AC">
        <w:rPr>
          <w:rFonts w:ascii="Century Gothic" w:hAnsi="Century Gothic"/>
          <w:i w:val="0"/>
          <w:sz w:val="20"/>
          <w:szCs w:val="20"/>
          <w:lang w:val="fr-FR"/>
        </w:rPr>
        <w:t xml:space="preserve"> de formation EIR</w:t>
      </w:r>
    </w:p>
    <w:p w:rsidR="008275C6" w:rsidRPr="006B6C5E" w:rsidRDefault="00F77F99" w:rsidP="008275C6">
      <w:pPr>
        <w:pStyle w:val="Heading2"/>
        <w:spacing w:before="0" w:after="0"/>
        <w:jc w:val="center"/>
        <w:rPr>
          <w:rFonts w:ascii="Century Gothic" w:hAnsi="Century Gothic"/>
          <w:i w:val="0"/>
          <w:sz w:val="20"/>
          <w:szCs w:val="20"/>
          <w:lang w:val="fr-FR"/>
        </w:rPr>
      </w:pPr>
      <w:r>
        <w:rPr>
          <w:rFonts w:ascii="Century Gothic" w:hAnsi="Century Gothic"/>
          <w:i w:val="0"/>
          <w:sz w:val="20"/>
          <w:szCs w:val="20"/>
          <w:lang w:val="fr-FR"/>
        </w:rPr>
        <w:t>A4.1</w:t>
      </w:r>
      <w:r w:rsidR="00C241C3" w:rsidRPr="003A26AC">
        <w:rPr>
          <w:rFonts w:ascii="Century Gothic" w:hAnsi="Century Gothic"/>
          <w:i w:val="0"/>
          <w:sz w:val="20"/>
          <w:szCs w:val="20"/>
          <w:lang w:val="fr-FR"/>
        </w:rPr>
        <w:t xml:space="preserve"> Exercice : rapport </w:t>
      </w:r>
      <w:r w:rsidR="00061C2B">
        <w:rPr>
          <w:rFonts w:ascii="Century Gothic" w:hAnsi="Century Gothic"/>
          <w:i w:val="0"/>
          <w:sz w:val="20"/>
          <w:szCs w:val="20"/>
          <w:lang w:val="fr-FR"/>
        </w:rPr>
        <w:t>d’investigation</w:t>
      </w:r>
    </w:p>
    <w:p w:rsidR="008275C6" w:rsidRPr="006B6C5E" w:rsidRDefault="006B6C5E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fr-FR"/>
        </w:rPr>
      </w:pPr>
    </w:p>
    <w:p w:rsidR="008275C6" w:rsidRPr="006B6C5E" w:rsidRDefault="006B6C5E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fr-FR"/>
        </w:rPr>
      </w:pPr>
    </w:p>
    <w:p w:rsidR="00E12422" w:rsidRPr="006B6C5E" w:rsidRDefault="00C241C3" w:rsidP="008275C6">
      <w:pPr>
        <w:pStyle w:val="Heading2"/>
        <w:spacing w:before="0" w:after="0"/>
        <w:rPr>
          <w:rFonts w:ascii="Century Gothic" w:hAnsi="Century Gothic"/>
          <w:i w:val="0"/>
          <w:sz w:val="20"/>
          <w:szCs w:val="20"/>
          <w:lang w:val="fr-FR"/>
        </w:rPr>
      </w:pPr>
      <w:r w:rsidRPr="003A26AC">
        <w:rPr>
          <w:rFonts w:ascii="Century Gothic" w:hAnsi="Century Gothic"/>
          <w:i w:val="0"/>
          <w:sz w:val="20"/>
          <w:szCs w:val="20"/>
          <w:lang w:val="fr-FR"/>
        </w:rPr>
        <w:t>Annexe 7A : Modèle pour la rédaction du rapport d</w:t>
      </w:r>
      <w:r w:rsidR="00061C2B">
        <w:rPr>
          <w:rFonts w:ascii="Century Gothic" w:hAnsi="Century Gothic"/>
          <w:i w:val="0"/>
          <w:sz w:val="20"/>
          <w:szCs w:val="20"/>
          <w:lang w:val="fr-FR"/>
        </w:rPr>
        <w:t>’investigation d</w:t>
      </w:r>
      <w:r w:rsidRPr="003A26AC">
        <w:rPr>
          <w:rFonts w:ascii="Century Gothic" w:hAnsi="Century Gothic"/>
          <w:i w:val="0"/>
          <w:sz w:val="20"/>
          <w:szCs w:val="20"/>
          <w:lang w:val="fr-FR"/>
        </w:rPr>
        <w:t xml:space="preserve">e district </w:t>
      </w:r>
      <w:bookmarkEnd w:id="0"/>
      <w:bookmarkEnd w:id="1"/>
      <w:r w:rsidRPr="003A26AC">
        <w:rPr>
          <w:rFonts w:ascii="Century Gothic" w:hAnsi="Century Gothic"/>
          <w:i w:val="0"/>
          <w:sz w:val="20"/>
          <w:szCs w:val="20"/>
          <w:lang w:val="fr-FR"/>
        </w:rPr>
        <w:t xml:space="preserve">(extrait de </w:t>
      </w:r>
      <w:r w:rsidR="00061C2B">
        <w:rPr>
          <w:rFonts w:ascii="Century Gothic" w:hAnsi="Century Gothic"/>
          <w:i w:val="0"/>
          <w:sz w:val="20"/>
          <w:szCs w:val="20"/>
          <w:lang w:val="fr-FR"/>
        </w:rPr>
        <w:t>la SIMR</w:t>
      </w:r>
      <w:r w:rsidRPr="003A26AC">
        <w:rPr>
          <w:rFonts w:ascii="Century Gothic" w:hAnsi="Century Gothic"/>
          <w:i w:val="0"/>
          <w:sz w:val="20"/>
          <w:szCs w:val="20"/>
          <w:lang w:val="fr-FR"/>
        </w:rPr>
        <w:t>, Surveillance intégrée de la maladie et riposte dans la région africaine).</w:t>
      </w:r>
    </w:p>
    <w:p w:rsidR="008275C6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2"/>
          <w:szCs w:val="12"/>
          <w:lang w:val="fr-FR"/>
        </w:rPr>
      </w:pPr>
    </w:p>
    <w:p w:rsidR="008275C6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2"/>
          <w:szCs w:val="12"/>
          <w:lang w:val="fr-FR"/>
        </w:rPr>
      </w:pPr>
    </w:p>
    <w:p w:rsidR="00E12422" w:rsidRPr="006B6C5E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Titre/Description (maladie/affection faisant l’objet de l’enquête) ____________________________________________________________________________________________________________________________________________________________________________________</w:t>
      </w:r>
    </w:p>
    <w:p w:rsidR="008275C6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Période__________________________________________________________________________________Lieu (Villages, Voisinages, District, Province)_________________________________________</w:t>
      </w:r>
      <w:r w:rsidR="00E67B8F" w:rsidRPr="003A26AC">
        <w:rPr>
          <w:rFonts w:ascii="Century Gothic" w:hAnsi="Century Gothic"/>
          <w:sz w:val="20"/>
          <w:szCs w:val="20"/>
          <w:lang w:val="fr-FR"/>
        </w:rPr>
        <w:t>_______</w:t>
      </w:r>
    </w:p>
    <w:p w:rsidR="00E12422" w:rsidRPr="006B6C5E" w:rsidRDefault="006B6C5E" w:rsidP="008275C6">
      <w:pPr>
        <w:autoSpaceDE w:val="0"/>
        <w:autoSpaceDN w:val="0"/>
        <w:adjustRightInd w:val="0"/>
        <w:ind w:left="720"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sz w:val="20"/>
          <w:szCs w:val="20"/>
          <w:lang w:val="fr-FR"/>
        </w:rPr>
      </w:pPr>
    </w:p>
    <w:p w:rsidR="001F0CD1" w:rsidRPr="00073565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es-ES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 xml:space="preserve">Résumé exécutif </w:t>
      </w:r>
      <w:r w:rsidRPr="003A26AC">
        <w:rPr>
          <w:rFonts w:ascii="Century Gothic" w:hAnsi="Century Gothic"/>
          <w:sz w:val="20"/>
          <w:szCs w:val="20"/>
          <w:lang w:val="fr-FR"/>
        </w:rPr>
        <w:t>: ___________________________________________________________________</w:t>
      </w:r>
      <w:r w:rsidR="001F0CD1">
        <w:rPr>
          <w:rFonts w:ascii="Century Gothic" w:hAnsi="Century Gothic"/>
          <w:sz w:val="20"/>
          <w:szCs w:val="20"/>
          <w:lang w:val="fr-FR"/>
        </w:rPr>
        <w:t>__</w:t>
      </w:r>
      <w:r w:rsidRPr="003A26AC">
        <w:rPr>
          <w:rFonts w:ascii="Century Gothic" w:hAnsi="Century Gothic"/>
          <w:sz w:val="20"/>
          <w:szCs w:val="20"/>
          <w:lang w:val="fr-FR"/>
        </w:rPr>
        <w:t>__</w:t>
      </w:r>
    </w:p>
    <w:p w:rsidR="00E12422" w:rsidRPr="003A26AC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____________________________________________________</w:t>
      </w:r>
      <w:r w:rsidR="001F0CD1">
        <w:rPr>
          <w:rFonts w:ascii="Century Gothic" w:hAnsi="Century Gothic"/>
          <w:sz w:val="20"/>
          <w:szCs w:val="20"/>
          <w:lang w:val="fr-FR"/>
        </w:rPr>
        <w:t>____________________</w:t>
      </w:r>
      <w:r w:rsidRPr="003A26AC">
        <w:rPr>
          <w:rFonts w:ascii="Century Gothic" w:hAnsi="Century Gothic"/>
          <w:sz w:val="20"/>
          <w:szCs w:val="20"/>
          <w:lang w:val="fr-FR"/>
        </w:rPr>
        <w:t>_________________</w:t>
      </w:r>
    </w:p>
    <w:p w:rsidR="00E12422" w:rsidRPr="003A26AC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</w:rPr>
      </w:pPr>
    </w:p>
    <w:p w:rsidR="00E12422" w:rsidRPr="003A26AC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</w:rPr>
      </w:pPr>
    </w:p>
    <w:p w:rsidR="00E12422" w:rsidRPr="003A26AC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>I. Introduction :</w:t>
      </w:r>
    </w:p>
    <w:p w:rsidR="00E12422" w:rsidRPr="003A26AC" w:rsidRDefault="00C241C3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Contexte</w:t>
      </w:r>
    </w:p>
    <w:p w:rsidR="008275C6" w:rsidRPr="003A26AC" w:rsidRDefault="006B6C5E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</w:rPr>
      </w:pPr>
    </w:p>
    <w:p w:rsidR="00E12422" w:rsidRPr="006B6C5E" w:rsidRDefault="00C241C3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Raisons de l’enquête (importance en santé publique, seuil atteint, etc.)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pStyle w:val="ListParagraph"/>
        <w:numPr>
          <w:ilvl w:val="1"/>
          <w:numId w:val="1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 xml:space="preserve">Investigation et préparation à </w:t>
      </w:r>
      <w:r w:rsidR="00061C2B">
        <w:rPr>
          <w:rFonts w:ascii="Century Gothic" w:hAnsi="Century Gothic"/>
          <w:sz w:val="20"/>
          <w:szCs w:val="20"/>
          <w:lang w:val="fr-FR"/>
        </w:rPr>
        <w:t>la flambée</w:t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3A26AC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>II. Méthodes</w:t>
      </w:r>
      <w:r w:rsidRPr="003A26AC">
        <w:rPr>
          <w:rFonts w:ascii="Century Gothic" w:hAnsi="Century Gothic"/>
          <w:bCs/>
          <w:sz w:val="20"/>
          <w:szCs w:val="20"/>
          <w:lang w:val="fr-FR"/>
        </w:rPr>
        <w:t> :</w:t>
      </w:r>
    </w:p>
    <w:p w:rsidR="00E12422" w:rsidRPr="003A26AC" w:rsidRDefault="00C241C3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Dates d'investigation</w:t>
      </w:r>
    </w:p>
    <w:p w:rsidR="008275C6" w:rsidRPr="003A26AC" w:rsidRDefault="006B6C5E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</w:rPr>
      </w:pPr>
    </w:p>
    <w:p w:rsidR="00E12422" w:rsidRPr="00061C2B" w:rsidRDefault="00C241C3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Site(s) d’investigation (établissements de soins, villages, autres)</w:t>
      </w:r>
    </w:p>
    <w:p w:rsidR="008275C6" w:rsidRPr="00061C2B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Recherche des cas (indiquer ce qui a été fait concernant la recherche des cas, ex. examen des registres médicaux, enquête de proximité, alerte des autres établissements de soins, autres)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073565" w:rsidRDefault="00C241C3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es-ES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Échantillons de laboratoire prélevés</w:t>
      </w:r>
    </w:p>
    <w:p w:rsidR="008275C6" w:rsidRPr="00073565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es-ES"/>
        </w:rPr>
      </w:pPr>
    </w:p>
    <w:p w:rsidR="00E12422" w:rsidRPr="006B6C5E" w:rsidRDefault="00C241C3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Description de la riposte et de l’intervention (préciser les dates)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3A26AC" w:rsidRDefault="00061C2B" w:rsidP="008275C6">
      <w:pPr>
        <w:pStyle w:val="ListParagraph"/>
        <w:numPr>
          <w:ilvl w:val="1"/>
          <w:numId w:val="2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  <w:lang w:val="fr-FR"/>
        </w:rPr>
        <w:t>Gestion</w:t>
      </w:r>
      <w:r w:rsidR="00C241C3" w:rsidRPr="003A26AC">
        <w:rPr>
          <w:rFonts w:ascii="Century Gothic" w:hAnsi="Century Gothic"/>
          <w:sz w:val="20"/>
          <w:szCs w:val="20"/>
          <w:lang w:val="fr-FR"/>
        </w:rPr>
        <w:t xml:space="preserve"> des données </w:t>
      </w:r>
    </w:p>
    <w:p w:rsidR="00E12422" w:rsidRPr="003A26AC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</w:rPr>
      </w:pPr>
    </w:p>
    <w:p w:rsidR="00E12422" w:rsidRPr="003A26AC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>III. Résultats :</w:t>
      </w:r>
    </w:p>
    <w:p w:rsidR="00E12422" w:rsidRPr="00061C2B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Date et lieu du premier cas détecté (ou cas index)</w:t>
      </w:r>
    </w:p>
    <w:p w:rsidR="008275C6" w:rsidRPr="00061C2B" w:rsidRDefault="006B6C5E" w:rsidP="008275C6">
      <w:pPr>
        <w:pStyle w:val="ListParagraph"/>
        <w:autoSpaceDE w:val="0"/>
        <w:autoSpaceDN w:val="0"/>
        <w:adjustRightInd w:val="0"/>
        <w:ind w:left="144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Date et coordonnées de l’établissement de soins où le premier cas a été vu par le système de santé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Résultats de la recherche supplémentaire de cas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073565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es-ES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Analyses de laboratoire et résultats</w:t>
      </w:r>
    </w:p>
    <w:p w:rsidR="008275C6" w:rsidRPr="00073565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es-ES"/>
        </w:rPr>
      </w:pPr>
    </w:p>
    <w:p w:rsidR="00E12422" w:rsidRPr="006B6C5E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Description des principales caractéristiques de l’analyse des résultats en fonction du temps, du lieu et des caractéristiques individuelles</w:t>
      </w:r>
    </w:p>
    <w:p w:rsidR="008275C6" w:rsidRPr="006B6C5E" w:rsidRDefault="006B6C5E" w:rsidP="008275C6">
      <w:p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Résultats détaillés en fonction du temps (courbe EPI), du lieu (carte) et des caractéristiques individuelles (tableaux), et fichiers informatiques</w:t>
      </w:r>
    </w:p>
    <w:p w:rsidR="008275C6" w:rsidRPr="006B6C5E" w:rsidRDefault="00C241C3" w:rsidP="008275C6">
      <w:pPr>
        <w:pStyle w:val="ListParagraph"/>
        <w:numPr>
          <w:ilvl w:val="1"/>
          <w:numId w:val="3"/>
        </w:numPr>
        <w:autoSpaceDE w:val="0"/>
        <w:autoSpaceDN w:val="0"/>
        <w:adjustRightInd w:val="0"/>
        <w:contextualSpacing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lastRenderedPageBreak/>
        <w:t>Résultats de la riposte et preuve de son impact</w:t>
      </w:r>
    </w:p>
    <w:p w:rsidR="00E12422" w:rsidRPr="00061C2B" w:rsidRDefault="00C241C3" w:rsidP="008275C6">
      <w:pPr>
        <w:pStyle w:val="text"/>
        <w:tabs>
          <w:tab w:val="left" w:pos="0"/>
        </w:tabs>
        <w:spacing w:line="240" w:lineRule="auto"/>
        <w:ind w:left="0"/>
        <w:rPr>
          <w:rFonts w:ascii="Century Gothic" w:hAnsi="Century Gothic"/>
          <w:i/>
          <w:sz w:val="20"/>
          <w:szCs w:val="20"/>
          <w:lang w:val="fr-FR"/>
        </w:rPr>
      </w:pPr>
      <w:r w:rsidRPr="003A26AC">
        <w:rPr>
          <w:rFonts w:ascii="Century Gothic" w:hAnsi="Century Gothic"/>
          <w:i/>
          <w:iCs/>
          <w:sz w:val="20"/>
          <w:szCs w:val="20"/>
          <w:lang w:val="fr-FR"/>
        </w:rPr>
        <w:t>NB : Inclure ce qui suit dans le rapport : courbe epi ; lieu (carte de l'emplacement) ; caractéristiques individuelles (tableau) et fichiers informatiques.</w:t>
      </w:r>
    </w:p>
    <w:p w:rsidR="00061C2B" w:rsidRDefault="00061C2B" w:rsidP="008275C6">
      <w:pPr>
        <w:rPr>
          <w:rFonts w:ascii="Century Gothic" w:hAnsi="Century Gothic"/>
          <w:b/>
          <w:bCs/>
          <w:sz w:val="20"/>
          <w:lang w:val="fr-FR"/>
        </w:rPr>
      </w:pPr>
    </w:p>
    <w:p w:rsidR="00E12422" w:rsidRPr="006B6C5E" w:rsidRDefault="00C241C3" w:rsidP="008275C6">
      <w:pPr>
        <w:rPr>
          <w:rFonts w:ascii="Century Gothic" w:hAnsi="Century Gothic"/>
          <w:b/>
          <w:bCs/>
          <w:sz w:val="20"/>
          <w:lang w:val="fr-FR"/>
        </w:rPr>
      </w:pPr>
      <w:r w:rsidRPr="003A26AC">
        <w:rPr>
          <w:rFonts w:ascii="Century Gothic" w:hAnsi="Century Gothic"/>
          <w:b/>
          <w:bCs/>
          <w:sz w:val="20"/>
          <w:lang w:val="fr-FR"/>
        </w:rPr>
        <w:t xml:space="preserve">IV. Auto-évaluation de la promptitude et de la qualité de la préparation, de la détection, de l’investigation et de la riposte à </w:t>
      </w:r>
      <w:r w:rsidR="00061C2B">
        <w:rPr>
          <w:rFonts w:ascii="Century Gothic" w:hAnsi="Century Gothic"/>
          <w:b/>
          <w:bCs/>
          <w:sz w:val="20"/>
          <w:lang w:val="fr-FR"/>
        </w:rPr>
        <w:t>la flambée</w:t>
      </w:r>
      <w:r w:rsidRPr="003A26AC">
        <w:rPr>
          <w:rFonts w:ascii="Century Gothic" w:hAnsi="Century Gothic"/>
          <w:b/>
          <w:bCs/>
          <w:sz w:val="20"/>
          <w:lang w:val="fr-FR"/>
        </w:rPr>
        <w:t xml:space="preserve"> :</w:t>
      </w:r>
    </w:p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73565" w:rsidRDefault="00C241C3" w:rsidP="008275C6">
      <w:pPr>
        <w:pStyle w:val="Heading7"/>
        <w:rPr>
          <w:rFonts w:ascii="Century Gothic" w:hAnsi="Century Gothic"/>
          <w:sz w:val="18"/>
          <w:szCs w:val="20"/>
          <w:lang w:val="es-ES"/>
        </w:rPr>
      </w:pPr>
      <w:r w:rsidRPr="003A26AC">
        <w:rPr>
          <w:rFonts w:ascii="Century Gothic" w:hAnsi="Century Gothic"/>
          <w:sz w:val="18"/>
          <w:szCs w:val="20"/>
          <w:lang w:val="fr-FR"/>
        </w:rPr>
        <w:t>Préparation à l’épidémie</w:t>
      </w:r>
    </w:p>
    <w:p w:rsidR="008275C6" w:rsidRPr="00073565" w:rsidRDefault="006B6C5E" w:rsidP="008275C6">
      <w:pPr>
        <w:rPr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992"/>
        <w:gridCol w:w="1134"/>
      </w:tblGrid>
      <w:tr w:rsidR="004D4D11" w:rsidTr="008275C6">
        <w:tc>
          <w:tcPr>
            <w:tcW w:w="7054" w:type="dxa"/>
            <w:vAlign w:val="center"/>
          </w:tcPr>
          <w:p w:rsidR="00E12422" w:rsidRPr="003A26AC" w:rsidRDefault="00C241C3" w:rsidP="008275C6">
            <w:pPr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992" w:type="dxa"/>
          </w:tcPr>
          <w:p w:rsidR="00E12422" w:rsidRPr="003A26AC" w:rsidRDefault="00C241C3" w:rsidP="008275C6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Oui</w:t>
            </w:r>
          </w:p>
        </w:tc>
        <w:tc>
          <w:tcPr>
            <w:tcW w:w="1134" w:type="dxa"/>
          </w:tcPr>
          <w:p w:rsidR="00E12422" w:rsidRPr="003A26AC" w:rsidRDefault="00C241C3" w:rsidP="008275C6">
            <w:pPr>
              <w:jc w:val="center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Non</w:t>
            </w:r>
          </w:p>
        </w:tc>
      </w:tr>
      <w:tr w:rsidR="004D4D11" w:rsidRPr="006B6C5E" w:rsidTr="008275C6">
        <w:tc>
          <w:tcPr>
            <w:tcW w:w="7054" w:type="dxa"/>
            <w:vAlign w:val="center"/>
          </w:tcPr>
          <w:p w:rsidR="00E12422" w:rsidRPr="00061C2B" w:rsidRDefault="00C241C3" w:rsidP="00061C2B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Les médicaments et les fournitures 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 xml:space="preserve">appropriés 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étaient-ils disponibles dès l’apparition de 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la flambée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?</w:t>
            </w:r>
          </w:p>
        </w:tc>
        <w:tc>
          <w:tcPr>
            <w:tcW w:w="992" w:type="dxa"/>
          </w:tcPr>
          <w:p w:rsidR="00E12422" w:rsidRPr="00061C2B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E12422" w:rsidRPr="00061C2B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  <w:tr w:rsidR="004D4D11" w:rsidRPr="006B6C5E" w:rsidTr="008275C6">
        <w:tc>
          <w:tcPr>
            <w:tcW w:w="7054" w:type="dxa"/>
            <w:vAlign w:val="center"/>
          </w:tcPr>
          <w:p w:rsidR="00E12422" w:rsidRPr="006B6C5E" w:rsidRDefault="00C241C3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Les agents de santé disposaient-ils de protocoles de traitement ?</w:t>
            </w:r>
            <w:r w:rsidR="002C225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</w:t>
            </w:r>
          </w:p>
        </w:tc>
        <w:tc>
          <w:tcPr>
            <w:tcW w:w="992" w:type="dxa"/>
          </w:tcPr>
          <w:p w:rsidR="00E12422" w:rsidRPr="006B6C5E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E12422" w:rsidRPr="006B6C5E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  <w:tr w:rsidR="004D4D11" w:rsidRPr="006B6C5E" w:rsidTr="008275C6">
        <w:tc>
          <w:tcPr>
            <w:tcW w:w="7054" w:type="dxa"/>
            <w:vAlign w:val="center"/>
          </w:tcPr>
          <w:p w:rsidR="00E12422" w:rsidRPr="006B6C5E" w:rsidRDefault="00C241C3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Le comité de district de gestion des urgences sanitaires s’est-il réuni régulièrement dans le cadre de la préparation aux épidémies ?</w:t>
            </w:r>
          </w:p>
          <w:p w:rsidR="00E12422" w:rsidRPr="006B6C5E" w:rsidRDefault="00C241C3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Un plan de préparation et de riposte à l'épidémie était-il disponible ? </w:t>
            </w:r>
          </w:p>
        </w:tc>
        <w:tc>
          <w:tcPr>
            <w:tcW w:w="992" w:type="dxa"/>
          </w:tcPr>
          <w:p w:rsidR="00E12422" w:rsidRPr="006B6C5E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134" w:type="dxa"/>
          </w:tcPr>
          <w:p w:rsidR="00E12422" w:rsidRPr="006B6C5E" w:rsidRDefault="006B6C5E" w:rsidP="008275C6">
            <w:pPr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</w:tbl>
    <w:p w:rsidR="00E12422" w:rsidRPr="006B6C5E" w:rsidRDefault="006B6C5E" w:rsidP="008275C6">
      <w:pPr>
        <w:tabs>
          <w:tab w:val="left" w:pos="5940"/>
        </w:tabs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</w:p>
    <w:p w:rsidR="00E12422" w:rsidRPr="006B6C5E" w:rsidRDefault="006B6C5E" w:rsidP="008275C6">
      <w:pPr>
        <w:tabs>
          <w:tab w:val="left" w:pos="5940"/>
        </w:tabs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</w:p>
    <w:p w:rsidR="00E12422" w:rsidRPr="00073565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  <w:r w:rsidRPr="003A26AC">
        <w:rPr>
          <w:rFonts w:ascii="Century Gothic" w:hAnsi="Century Gothic"/>
          <w:b/>
          <w:bCs/>
          <w:sz w:val="18"/>
          <w:szCs w:val="20"/>
          <w:lang w:val="fr-FR"/>
        </w:rPr>
        <w:t xml:space="preserve">Détection de </w:t>
      </w:r>
      <w:r w:rsidR="00061C2B">
        <w:rPr>
          <w:rFonts w:ascii="Century Gothic" w:hAnsi="Century Gothic"/>
          <w:b/>
          <w:bCs/>
          <w:sz w:val="18"/>
          <w:szCs w:val="20"/>
          <w:lang w:val="fr-FR"/>
        </w:rPr>
        <w:t>la flambée</w:t>
      </w:r>
    </w:p>
    <w:p w:rsidR="008275C6" w:rsidRPr="00073565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0"/>
        <w:gridCol w:w="969"/>
        <w:gridCol w:w="1139"/>
        <w:gridCol w:w="1094"/>
      </w:tblGrid>
      <w:tr w:rsidR="004D4D11" w:rsidTr="002B6CB2">
        <w:tc>
          <w:tcPr>
            <w:tcW w:w="631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99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1</w:t>
            </w:r>
          </w:p>
        </w:tc>
        <w:tc>
          <w:tcPr>
            <w:tcW w:w="117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2</w:t>
            </w:r>
          </w:p>
        </w:tc>
        <w:tc>
          <w:tcPr>
            <w:tcW w:w="109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Intervalle</w:t>
            </w:r>
          </w:p>
        </w:tc>
      </w:tr>
      <w:tr w:rsidR="004D4D11" w:rsidTr="002B6CB2">
        <w:tc>
          <w:tcPr>
            <w:tcW w:w="6318" w:type="dxa"/>
          </w:tcPr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entre l’apparition du cas index (ou l’apparition d’un groupe de cas inhabituel au niveau de la communauté) [date 1] et l’arrivée du premier cas à l’établissement de soins [date 2] </w:t>
            </w:r>
          </w:p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 : &lt;3 jours)</w:t>
            </w:r>
          </w:p>
        </w:tc>
        <w:tc>
          <w:tcPr>
            <w:tcW w:w="99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17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098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</w:tr>
      <w:tr w:rsidR="004D4D11" w:rsidTr="002B6CB2">
        <w:tc>
          <w:tcPr>
            <w:tcW w:w="6318" w:type="dxa"/>
          </w:tcPr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entre le moment où le premier cas a été vu à l’établissement de soins (ou date à laquelle </w:t>
            </w:r>
          </w:p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le seuil épidémique a été franchi à l’établissement de soins) [date 1] et la notification à l’équipe sanitaire du district [date 2] </w:t>
            </w:r>
          </w:p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dans les 24 heures)</w:t>
            </w:r>
          </w:p>
        </w:tc>
        <w:tc>
          <w:tcPr>
            <w:tcW w:w="99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17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098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</w:tr>
      <w:tr w:rsidR="004D4D11" w:rsidTr="002B6CB2">
        <w:tc>
          <w:tcPr>
            <w:tcW w:w="6318" w:type="dxa"/>
          </w:tcPr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cumulatif entre l’apparition du cas index (ou l’apparition d’un groupe de cas inhabituel au niveau de la communauté) [date 1] et la notification au district [date 2] </w:t>
            </w:r>
          </w:p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&lt;7 jours)</w:t>
            </w:r>
          </w:p>
        </w:tc>
        <w:tc>
          <w:tcPr>
            <w:tcW w:w="99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17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  <w:tc>
          <w:tcPr>
            <w:tcW w:w="1098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bCs/>
                <w:sz w:val="18"/>
                <w:szCs w:val="20"/>
              </w:rPr>
            </w:pPr>
          </w:p>
        </w:tc>
      </w:tr>
    </w:tbl>
    <w:p w:rsidR="00E12422" w:rsidRPr="003A26AC" w:rsidRDefault="006B6C5E" w:rsidP="008275C6">
      <w:pPr>
        <w:rPr>
          <w:rFonts w:ascii="Century Gothic" w:hAnsi="Century Gothic"/>
          <w:sz w:val="18"/>
          <w:szCs w:val="20"/>
        </w:rPr>
      </w:pPr>
    </w:p>
    <w:p w:rsidR="00E12422" w:rsidRPr="003A26AC" w:rsidRDefault="006B6C5E" w:rsidP="008275C6">
      <w:pPr>
        <w:rPr>
          <w:rFonts w:ascii="Century Gothic" w:hAnsi="Century Gothic"/>
          <w:sz w:val="18"/>
          <w:szCs w:val="20"/>
        </w:rPr>
      </w:pPr>
    </w:p>
    <w:p w:rsidR="00E12422" w:rsidRPr="00073565" w:rsidRDefault="00061C2B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  <w:r>
        <w:rPr>
          <w:rFonts w:ascii="Century Gothic" w:hAnsi="Century Gothic"/>
          <w:b/>
          <w:bCs/>
          <w:sz w:val="18"/>
          <w:szCs w:val="20"/>
          <w:lang w:val="fr-FR"/>
        </w:rPr>
        <w:t>Enquête sur la flambée</w:t>
      </w:r>
    </w:p>
    <w:p w:rsidR="008275C6" w:rsidRPr="00073565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134"/>
        <w:gridCol w:w="992"/>
      </w:tblGrid>
      <w:tr w:rsidR="004D4D11" w:rsidTr="008275C6">
        <w:tc>
          <w:tcPr>
            <w:tcW w:w="7054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1134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Oui</w:t>
            </w:r>
          </w:p>
        </w:tc>
        <w:tc>
          <w:tcPr>
            <w:tcW w:w="992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Non</w:t>
            </w:r>
          </w:p>
        </w:tc>
      </w:tr>
      <w:tr w:rsidR="004D4D11" w:rsidRPr="006B6C5E" w:rsidTr="008275C6">
        <w:tc>
          <w:tcPr>
            <w:tcW w:w="7054" w:type="dxa"/>
          </w:tcPr>
          <w:p w:rsidR="00E12422" w:rsidRPr="006B6C5E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Les formulaires/listes de cas ont-ils été remplis ?</w:t>
            </w:r>
            <w:r w:rsidR="002C225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992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  <w:tr w:rsidR="004D4D11" w:rsidRPr="006B6C5E" w:rsidTr="008275C6">
        <w:tc>
          <w:tcPr>
            <w:tcW w:w="7054" w:type="dxa"/>
          </w:tcPr>
          <w:p w:rsidR="00E12422" w:rsidRPr="006B6C5E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Des échantillons ont-ils été prélevés pour le laboratoire (en cas de besoin) ?</w:t>
            </w:r>
            <w:r w:rsidR="002C225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</w:t>
            </w:r>
          </w:p>
        </w:tc>
        <w:tc>
          <w:tcPr>
            <w:tcW w:w="1134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992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</w:tbl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9"/>
        <w:gridCol w:w="970"/>
        <w:gridCol w:w="1139"/>
        <w:gridCol w:w="1094"/>
      </w:tblGrid>
      <w:tr w:rsidR="004D4D11" w:rsidTr="002B6CB2">
        <w:tc>
          <w:tcPr>
            <w:tcW w:w="631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99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1</w:t>
            </w:r>
          </w:p>
        </w:tc>
        <w:tc>
          <w:tcPr>
            <w:tcW w:w="117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2</w:t>
            </w:r>
          </w:p>
        </w:tc>
        <w:tc>
          <w:tcPr>
            <w:tcW w:w="109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Intervalle</w:t>
            </w:r>
          </w:p>
        </w:tc>
      </w:tr>
      <w:tr w:rsidR="004D4D11" w:rsidTr="002B6CB2">
        <w:tc>
          <w:tcPr>
            <w:tcW w:w="6318" w:type="dxa"/>
          </w:tcPr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entre la notification au district [date 1] et l’investigation sur le terrain [date 2] </w:t>
            </w:r>
          </w:p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dans les 48 heures)</w:t>
            </w:r>
          </w:p>
        </w:tc>
        <w:tc>
          <w:tcPr>
            <w:tcW w:w="99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7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098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</w:tr>
      <w:tr w:rsidR="004D4D11" w:rsidRPr="006B6C5E" w:rsidTr="002B6CB2">
        <w:tc>
          <w:tcPr>
            <w:tcW w:w="6318" w:type="dxa"/>
          </w:tcPr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entre l’envoi des échantillons au laboratoire [date 1] et la réception des résultats par le district [date 2] </w:t>
            </w:r>
          </w:p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3 à 7 jours, selon le type d’analyse)</w:t>
            </w:r>
          </w:p>
        </w:tc>
        <w:tc>
          <w:tcPr>
            <w:tcW w:w="990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170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098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</w:tbl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</w:p>
    <w:p w:rsidR="00E12422" w:rsidRPr="00073565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  <w:r w:rsidRPr="003A26AC">
        <w:rPr>
          <w:rFonts w:ascii="Century Gothic" w:hAnsi="Century Gothic"/>
          <w:b/>
          <w:bCs/>
          <w:sz w:val="18"/>
          <w:szCs w:val="20"/>
          <w:lang w:val="fr-FR"/>
        </w:rPr>
        <w:t xml:space="preserve">Riposte à </w:t>
      </w:r>
      <w:r w:rsidR="00061C2B">
        <w:rPr>
          <w:rFonts w:ascii="Century Gothic" w:hAnsi="Century Gothic"/>
          <w:b/>
          <w:bCs/>
          <w:sz w:val="18"/>
          <w:szCs w:val="20"/>
          <w:lang w:val="fr-FR"/>
        </w:rPr>
        <w:t>la flambée</w:t>
      </w:r>
      <w:r w:rsidRPr="003A26AC">
        <w:rPr>
          <w:rFonts w:ascii="Century Gothic" w:hAnsi="Century Gothic"/>
          <w:b/>
          <w:bCs/>
          <w:sz w:val="18"/>
          <w:szCs w:val="20"/>
          <w:lang w:val="fr-FR"/>
        </w:rPr>
        <w:t xml:space="preserve"> :</w:t>
      </w:r>
    </w:p>
    <w:p w:rsidR="008275C6" w:rsidRPr="00073565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es-ES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38"/>
        <w:gridCol w:w="970"/>
        <w:gridCol w:w="1140"/>
        <w:gridCol w:w="1094"/>
      </w:tblGrid>
      <w:tr w:rsidR="004D4D11" w:rsidTr="002B6CB2">
        <w:tc>
          <w:tcPr>
            <w:tcW w:w="631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99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1</w:t>
            </w:r>
          </w:p>
        </w:tc>
        <w:tc>
          <w:tcPr>
            <w:tcW w:w="117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2</w:t>
            </w:r>
          </w:p>
        </w:tc>
        <w:tc>
          <w:tcPr>
            <w:tcW w:w="109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Intervalle</w:t>
            </w:r>
          </w:p>
        </w:tc>
      </w:tr>
      <w:tr w:rsidR="004D4D11" w:rsidRPr="006B6C5E" w:rsidTr="002B6CB2">
        <w:tc>
          <w:tcPr>
            <w:tcW w:w="6318" w:type="dxa"/>
          </w:tcPr>
          <w:p w:rsidR="00E12422" w:rsidRPr="006B6C5E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Interv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alle entre la notification de la flambée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au district [date 1] et la réponse concrète du district [date 2] </w:t>
            </w:r>
          </w:p>
          <w:p w:rsidR="00E12422" w:rsidRPr="00061C2B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dans les 48 heures après la notification)</w:t>
            </w:r>
          </w:p>
        </w:tc>
        <w:tc>
          <w:tcPr>
            <w:tcW w:w="990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170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1098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</w:tbl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fr-FR"/>
        </w:rPr>
      </w:pPr>
    </w:p>
    <w:p w:rsidR="00E67B8F" w:rsidRPr="00061C2B" w:rsidRDefault="00E67B8F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  <w:lang w:val="fr-FR"/>
        </w:rPr>
      </w:pPr>
    </w:p>
    <w:p w:rsidR="00EB5DDA" w:rsidRDefault="00EB5DDA">
      <w:pPr>
        <w:spacing w:after="200" w:line="276" w:lineRule="auto"/>
        <w:rPr>
          <w:rFonts w:ascii="Century Gothic" w:hAnsi="Century Gothic"/>
          <w:b/>
          <w:bCs/>
          <w:sz w:val="18"/>
          <w:szCs w:val="20"/>
          <w:lang w:val="fr-FR"/>
        </w:rPr>
      </w:pPr>
    </w:p>
    <w:p w:rsidR="00E12422" w:rsidRPr="003A26AC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</w:rPr>
      </w:pPr>
      <w:r w:rsidRPr="003A26AC">
        <w:rPr>
          <w:rFonts w:ascii="Century Gothic" w:hAnsi="Century Gothic"/>
          <w:b/>
          <w:bCs/>
          <w:sz w:val="18"/>
          <w:szCs w:val="20"/>
          <w:lang w:val="fr-FR"/>
        </w:rPr>
        <w:lastRenderedPageBreak/>
        <w:t>Évaluation et retour d'informations :</w:t>
      </w:r>
    </w:p>
    <w:p w:rsidR="008275C6" w:rsidRPr="003A26AC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040"/>
        <w:gridCol w:w="969"/>
        <w:gridCol w:w="1139"/>
        <w:gridCol w:w="1094"/>
      </w:tblGrid>
      <w:tr w:rsidR="004D4D11" w:rsidTr="002B6CB2">
        <w:tc>
          <w:tcPr>
            <w:tcW w:w="631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99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1</w:t>
            </w:r>
          </w:p>
        </w:tc>
        <w:tc>
          <w:tcPr>
            <w:tcW w:w="1170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Date 2</w:t>
            </w:r>
          </w:p>
        </w:tc>
        <w:tc>
          <w:tcPr>
            <w:tcW w:w="1098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Intervalle</w:t>
            </w:r>
          </w:p>
        </w:tc>
      </w:tr>
      <w:tr w:rsidR="004D4D11" w:rsidTr="002B6CB2">
        <w:tc>
          <w:tcPr>
            <w:tcW w:w="6318" w:type="dxa"/>
          </w:tcPr>
          <w:p w:rsidR="00E12422" w:rsidRPr="006B6C5E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Intervalle entre la fin de 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la flambée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[date 1] et la finalisation du rapport 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d’investigation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et l’envoi des fiches/listes de cas au niveau national [date 2] </w:t>
            </w:r>
          </w:p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(Objectif : 2 semaines)</w:t>
            </w:r>
          </w:p>
        </w:tc>
        <w:tc>
          <w:tcPr>
            <w:tcW w:w="99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170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  <w:tc>
          <w:tcPr>
            <w:tcW w:w="1098" w:type="dxa"/>
          </w:tcPr>
          <w:p w:rsidR="00E12422" w:rsidRPr="003A26AC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</w:rPr>
            </w:pPr>
          </w:p>
        </w:tc>
      </w:tr>
    </w:tbl>
    <w:p w:rsidR="00E12422" w:rsidRPr="003A26AC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18"/>
          <w:szCs w:val="20"/>
        </w:rPr>
      </w:pP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54"/>
        <w:gridCol w:w="1134"/>
        <w:gridCol w:w="992"/>
      </w:tblGrid>
      <w:tr w:rsidR="004D4D11" w:rsidTr="008275C6">
        <w:tc>
          <w:tcPr>
            <w:tcW w:w="7054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Indicateur</w:t>
            </w:r>
          </w:p>
        </w:tc>
        <w:tc>
          <w:tcPr>
            <w:tcW w:w="1134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Oui</w:t>
            </w:r>
          </w:p>
        </w:tc>
        <w:tc>
          <w:tcPr>
            <w:tcW w:w="992" w:type="dxa"/>
          </w:tcPr>
          <w:p w:rsidR="00E12422" w:rsidRPr="003A26AC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b/>
                <w:sz w:val="18"/>
                <w:szCs w:val="20"/>
              </w:rPr>
            </w:pPr>
            <w:r w:rsidRPr="003A26AC">
              <w:rPr>
                <w:rFonts w:ascii="Century Gothic" w:hAnsi="Century Gothic"/>
                <w:b/>
                <w:bCs/>
                <w:sz w:val="18"/>
                <w:szCs w:val="20"/>
                <w:lang w:val="fr-FR"/>
              </w:rPr>
              <w:t>Non</w:t>
            </w:r>
          </w:p>
        </w:tc>
      </w:tr>
      <w:tr w:rsidR="004D4D11" w:rsidRPr="006B6C5E" w:rsidTr="008275C6">
        <w:tc>
          <w:tcPr>
            <w:tcW w:w="7054" w:type="dxa"/>
          </w:tcPr>
          <w:p w:rsidR="00E12422" w:rsidRPr="006B6C5E" w:rsidRDefault="00C241C3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>Le comité de gestion des urgences sanitaires s’est-il réuni pour examiner les résultats de l’investigation ?</w:t>
            </w:r>
          </w:p>
        </w:tc>
        <w:tc>
          <w:tcPr>
            <w:tcW w:w="1134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992" w:type="dxa"/>
          </w:tcPr>
          <w:p w:rsidR="00E12422" w:rsidRPr="006B6C5E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  <w:tr w:rsidR="004D4D11" w:rsidRPr="006B6C5E" w:rsidTr="008275C6">
        <w:tc>
          <w:tcPr>
            <w:tcW w:w="7054" w:type="dxa"/>
          </w:tcPr>
          <w:p w:rsidR="00E12422" w:rsidRPr="00061C2B" w:rsidRDefault="00C241C3" w:rsidP="00061C2B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Les établissements de soins et la 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communauté</w:t>
            </w:r>
            <w:r w:rsidRPr="003A26AC">
              <w:rPr>
                <w:rFonts w:ascii="Century Gothic" w:hAnsi="Century Gothic"/>
                <w:sz w:val="18"/>
                <w:szCs w:val="20"/>
                <w:lang w:val="fr-FR"/>
              </w:rPr>
              <w:t xml:space="preserve"> ont-ils reçu un retour d’information</w:t>
            </w:r>
            <w:r w:rsidR="00061C2B">
              <w:rPr>
                <w:rFonts w:ascii="Century Gothic" w:hAnsi="Century Gothic"/>
                <w:sz w:val="18"/>
                <w:szCs w:val="20"/>
                <w:lang w:val="fr-FR"/>
              </w:rPr>
              <w:t> ?</w:t>
            </w:r>
          </w:p>
        </w:tc>
        <w:tc>
          <w:tcPr>
            <w:tcW w:w="1134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  <w:tc>
          <w:tcPr>
            <w:tcW w:w="992" w:type="dxa"/>
          </w:tcPr>
          <w:p w:rsidR="00E12422" w:rsidRPr="00061C2B" w:rsidRDefault="006B6C5E" w:rsidP="008275C6">
            <w:pPr>
              <w:autoSpaceDE w:val="0"/>
              <w:autoSpaceDN w:val="0"/>
              <w:adjustRightInd w:val="0"/>
              <w:rPr>
                <w:rFonts w:ascii="Century Gothic" w:hAnsi="Century Gothic"/>
                <w:sz w:val="18"/>
                <w:szCs w:val="20"/>
                <w:lang w:val="fr-FR"/>
              </w:rPr>
            </w:pPr>
          </w:p>
        </w:tc>
      </w:tr>
    </w:tbl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18"/>
          <w:szCs w:val="20"/>
          <w:lang w:val="fr-FR"/>
        </w:rPr>
      </w:pPr>
      <w:r w:rsidRPr="003A26AC">
        <w:rPr>
          <w:rFonts w:ascii="Century Gothic" w:hAnsi="Century Gothic"/>
          <w:sz w:val="18"/>
          <w:szCs w:val="20"/>
          <w:lang w:val="fr-FR"/>
        </w:rPr>
        <w:tab/>
      </w:r>
      <w:r w:rsidRPr="003A26AC">
        <w:rPr>
          <w:rFonts w:ascii="Century Gothic" w:hAnsi="Century Gothic"/>
          <w:sz w:val="18"/>
          <w:szCs w:val="20"/>
          <w:lang w:val="fr-FR"/>
        </w:rPr>
        <w:tab/>
      </w:r>
      <w:r w:rsidRPr="003A26AC">
        <w:rPr>
          <w:rFonts w:ascii="Century Gothic" w:hAnsi="Century Gothic"/>
          <w:sz w:val="18"/>
          <w:szCs w:val="20"/>
          <w:lang w:val="fr-FR"/>
        </w:rPr>
        <w:tab/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4"/>
          <w:szCs w:val="18"/>
          <w:lang w:val="fr-FR"/>
        </w:rPr>
      </w:pP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16"/>
          <w:szCs w:val="18"/>
          <w:lang w:val="fr-FR"/>
        </w:rPr>
      </w:pPr>
    </w:p>
    <w:p w:rsidR="00E12422" w:rsidRPr="006B6C5E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fr-FR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>V. Évaluation des autres aspects de la riposte</w:t>
      </w:r>
      <w:r w:rsidR="00061C2B">
        <w:rPr>
          <w:rFonts w:ascii="Century Gothic" w:hAnsi="Century Gothic"/>
          <w:b/>
          <w:bCs/>
          <w:sz w:val="20"/>
          <w:szCs w:val="20"/>
          <w:lang w:val="fr-FR"/>
        </w:rPr>
        <w:t> :</w:t>
      </w:r>
    </w:p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fr-FR"/>
        </w:rPr>
      </w:pPr>
    </w:p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 xml:space="preserve">VI. Interprétations, discussion et conclusions </w:t>
      </w:r>
      <w:r w:rsidRPr="003A26AC">
        <w:rPr>
          <w:rFonts w:ascii="Century Gothic" w:hAnsi="Century Gothic"/>
          <w:sz w:val="20"/>
          <w:szCs w:val="20"/>
          <w:lang w:val="fr-FR"/>
        </w:rPr>
        <w:t>:</w:t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fr-FR"/>
        </w:rPr>
      </w:pPr>
      <w:r w:rsidRPr="003A26AC">
        <w:rPr>
          <w:rFonts w:ascii="Century Gothic" w:hAnsi="Century Gothic"/>
          <w:b/>
          <w:bCs/>
          <w:sz w:val="20"/>
          <w:szCs w:val="20"/>
          <w:lang w:val="fr-FR"/>
        </w:rPr>
        <w:t xml:space="preserve">VII. Actions de santé publique recommandées : </w:t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bCs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fr-FR"/>
        </w:rPr>
      </w:pPr>
      <w:r w:rsidRPr="003A26AC">
        <w:rPr>
          <w:rFonts w:ascii="Century Gothic" w:hAnsi="Century Gothic"/>
          <w:bCs/>
          <w:sz w:val="20"/>
          <w:szCs w:val="20"/>
          <w:lang w:val="fr-FR"/>
        </w:rPr>
        <w:t>Les commenter aux différents niveaux : communauté, établissements de soins, district, partenaires,</w:t>
      </w:r>
      <w:r w:rsidR="00061C2B">
        <w:rPr>
          <w:rFonts w:ascii="Century Gothic" w:hAnsi="Century Gothic"/>
          <w:bCs/>
          <w:sz w:val="20"/>
          <w:szCs w:val="20"/>
          <w:lang w:val="fr-FR"/>
        </w:rPr>
        <w:t xml:space="preserve"> </w:t>
      </w:r>
      <w:r w:rsidRPr="003A26AC">
        <w:rPr>
          <w:rFonts w:ascii="Century Gothic" w:hAnsi="Century Gothic"/>
          <w:bCs/>
          <w:sz w:val="20"/>
          <w:szCs w:val="20"/>
          <w:lang w:val="fr-FR"/>
        </w:rPr>
        <w:t>province et niveau national</w:t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b/>
          <w:bCs/>
          <w:sz w:val="20"/>
          <w:szCs w:val="20"/>
          <w:lang w:val="fr-FR"/>
        </w:rPr>
      </w:pP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6B6C5E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Président du Comité de district de gestion des urgences sanitaires</w:t>
      </w:r>
    </w:p>
    <w:p w:rsidR="00E12422" w:rsidRPr="006B6C5E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 xml:space="preserve"> ______________________________________</w:t>
      </w:r>
      <w:r w:rsidRPr="003A26AC">
        <w:rPr>
          <w:rFonts w:ascii="Century Gothic" w:hAnsi="Century Gothic"/>
          <w:sz w:val="20"/>
          <w:szCs w:val="20"/>
          <w:lang w:val="fr-FR"/>
        </w:rPr>
        <w:tab/>
        <w:t>____________________________________</w:t>
      </w:r>
    </w:p>
    <w:p w:rsidR="00E12422" w:rsidRPr="00061C2B" w:rsidRDefault="00C241C3" w:rsidP="008275C6">
      <w:pPr>
        <w:autoSpaceDE w:val="0"/>
        <w:autoSpaceDN w:val="0"/>
        <w:adjustRightInd w:val="0"/>
        <w:ind w:left="720" w:firstLine="72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Nom</w:t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  <w:t xml:space="preserve"> Signature</w:t>
      </w:r>
    </w:p>
    <w:p w:rsidR="00E12422" w:rsidRPr="00061C2B" w:rsidRDefault="006B6C5E" w:rsidP="006B6C5E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6B6C5E" w:rsidP="008275C6">
      <w:pPr>
        <w:autoSpaceDE w:val="0"/>
        <w:autoSpaceDN w:val="0"/>
        <w:adjustRightInd w:val="0"/>
        <w:ind w:left="72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Médecin du District :</w:t>
      </w:r>
    </w:p>
    <w:p w:rsidR="00E12422" w:rsidRPr="00061C2B" w:rsidRDefault="006B6C5E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C241C3" w:rsidP="008275C6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 xml:space="preserve"> ______________________________________</w:t>
      </w:r>
      <w:r w:rsidRPr="003A26AC">
        <w:rPr>
          <w:rFonts w:ascii="Century Gothic" w:hAnsi="Century Gothic"/>
          <w:sz w:val="20"/>
          <w:szCs w:val="20"/>
          <w:lang w:val="fr-FR"/>
        </w:rPr>
        <w:tab/>
        <w:t>____________________________________</w:t>
      </w:r>
    </w:p>
    <w:p w:rsidR="00E12422" w:rsidRPr="00061C2B" w:rsidRDefault="00C241C3" w:rsidP="00E67B8F">
      <w:pPr>
        <w:autoSpaceDE w:val="0"/>
        <w:autoSpaceDN w:val="0"/>
        <w:adjustRightInd w:val="0"/>
        <w:ind w:left="720" w:firstLine="720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Nom</w:t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</w:r>
      <w:r w:rsidRPr="003A26AC">
        <w:rPr>
          <w:rFonts w:ascii="Century Gothic" w:hAnsi="Century Gothic"/>
          <w:sz w:val="20"/>
          <w:szCs w:val="20"/>
          <w:lang w:val="fr-FR"/>
        </w:rPr>
        <w:tab/>
        <w:t xml:space="preserve"> Signature</w:t>
      </w:r>
    </w:p>
    <w:p w:rsidR="00E12422" w:rsidRPr="00061C2B" w:rsidRDefault="006B6C5E" w:rsidP="008275C6">
      <w:pPr>
        <w:autoSpaceDE w:val="0"/>
        <w:autoSpaceDN w:val="0"/>
        <w:adjustRightInd w:val="0"/>
        <w:jc w:val="center"/>
        <w:rPr>
          <w:rFonts w:ascii="Century Gothic" w:hAnsi="Century Gothic"/>
          <w:sz w:val="20"/>
          <w:szCs w:val="20"/>
          <w:lang w:val="fr-FR"/>
        </w:rPr>
      </w:pPr>
    </w:p>
    <w:p w:rsidR="00E12422" w:rsidRPr="00061C2B" w:rsidRDefault="006B6C5E" w:rsidP="006B6C5E">
      <w:pPr>
        <w:autoSpaceDE w:val="0"/>
        <w:autoSpaceDN w:val="0"/>
        <w:adjustRightInd w:val="0"/>
        <w:rPr>
          <w:rFonts w:ascii="Century Gothic" w:hAnsi="Century Gothic"/>
          <w:sz w:val="20"/>
          <w:szCs w:val="20"/>
          <w:lang w:val="fr-FR"/>
        </w:rPr>
      </w:pPr>
    </w:p>
    <w:p w:rsidR="00E12422" w:rsidRDefault="00C241C3" w:rsidP="00E67B8F">
      <w:pPr>
        <w:autoSpaceDE w:val="0"/>
        <w:autoSpaceDN w:val="0"/>
        <w:adjustRightInd w:val="0"/>
        <w:ind w:firstLine="720"/>
        <w:jc w:val="center"/>
        <w:rPr>
          <w:rFonts w:ascii="Century Gothic" w:hAnsi="Century Gothic"/>
          <w:sz w:val="20"/>
          <w:szCs w:val="20"/>
          <w:lang w:val="fr-FR"/>
        </w:rPr>
      </w:pPr>
      <w:r w:rsidRPr="003A26AC">
        <w:rPr>
          <w:rFonts w:ascii="Century Gothic" w:hAnsi="Century Gothic"/>
          <w:sz w:val="20"/>
          <w:szCs w:val="20"/>
          <w:lang w:val="fr-FR"/>
        </w:rPr>
        <w:t>Date du rapport : __________</w:t>
      </w:r>
      <w:r w:rsidR="00E67B8F">
        <w:rPr>
          <w:rFonts w:ascii="Century Gothic" w:hAnsi="Century Gothic"/>
          <w:sz w:val="20"/>
          <w:szCs w:val="20"/>
          <w:lang w:val="fr-FR"/>
        </w:rPr>
        <w:t>__</w:t>
      </w:r>
      <w:r w:rsidRPr="003A26AC">
        <w:rPr>
          <w:rFonts w:ascii="Century Gothic" w:hAnsi="Century Gothic"/>
          <w:sz w:val="20"/>
          <w:szCs w:val="20"/>
          <w:lang w:val="fr-FR"/>
        </w:rPr>
        <w:t>______________________________</w:t>
      </w:r>
    </w:p>
    <w:p w:rsidR="006B6C5E" w:rsidRDefault="006B6C5E" w:rsidP="00E67B8F">
      <w:pPr>
        <w:autoSpaceDE w:val="0"/>
        <w:autoSpaceDN w:val="0"/>
        <w:adjustRightInd w:val="0"/>
        <w:ind w:firstLine="720"/>
        <w:jc w:val="center"/>
        <w:rPr>
          <w:rFonts w:ascii="Century Gothic" w:hAnsi="Century Gothic"/>
          <w:sz w:val="20"/>
          <w:szCs w:val="20"/>
          <w:lang w:val="fr-FR"/>
        </w:rPr>
      </w:pPr>
      <w:bookmarkStart w:id="2" w:name="_GoBack"/>
      <w:bookmarkEnd w:id="2"/>
    </w:p>
    <w:p w:rsidR="006B6C5E" w:rsidRDefault="006B6C5E" w:rsidP="00E67B8F">
      <w:pPr>
        <w:autoSpaceDE w:val="0"/>
        <w:autoSpaceDN w:val="0"/>
        <w:adjustRightInd w:val="0"/>
        <w:ind w:firstLine="720"/>
        <w:jc w:val="center"/>
        <w:rPr>
          <w:rFonts w:ascii="Century Gothic" w:hAnsi="Century Gothic"/>
          <w:sz w:val="20"/>
          <w:szCs w:val="20"/>
          <w:lang w:val="fr-F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2"/>
      </w:tblGrid>
      <w:tr w:rsidR="006B6C5E" w:rsidRPr="006B6C5E" w:rsidTr="006B6C5E">
        <w:tc>
          <w:tcPr>
            <w:tcW w:w="13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6C5E" w:rsidRPr="006B6C5E" w:rsidRDefault="006B6C5E" w:rsidP="006B6C5E">
            <w:pPr>
              <w:rPr>
                <w:rFonts w:ascii="Calibri" w:eastAsia="Arial" w:hAnsi="Calibri" w:cs="Calibri"/>
                <w:b/>
                <w:bCs/>
                <w:sz w:val="18"/>
                <w:szCs w:val="18"/>
                <w:lang w:val="en-US"/>
              </w:rPr>
            </w:pPr>
            <w:r w:rsidRPr="006B6C5E">
              <w:rPr>
                <w:rFonts w:ascii="Calibri" w:eastAsia="+mj-ea" w:hAnsi="Calibri" w:cs="Calibri"/>
                <w:b/>
                <w:bCs/>
                <w:kern w:val="24"/>
                <w:sz w:val="18"/>
                <w:szCs w:val="18"/>
                <w:lang w:val="en-US"/>
              </w:rPr>
              <w:t>Clause de non-responsabilité</w:t>
            </w: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b/>
                <w:bCs/>
                <w:sz w:val="18"/>
                <w:szCs w:val="18"/>
                <w:lang w:val="en-US"/>
              </w:rPr>
            </w:pP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sz w:val="18"/>
                <w:szCs w:val="18"/>
                <w:lang w:val="en-US"/>
              </w:rPr>
            </w:pPr>
            <w:r w:rsidRPr="006B6C5E">
              <w:rPr>
                <w:rFonts w:ascii="Calibri" w:eastAsia="Arial" w:hAnsi="Calibri" w:cs="Calibri"/>
                <w:b/>
                <w:bCs/>
                <w:sz w:val="18"/>
                <w:szCs w:val="18"/>
                <w:lang w:val="en-US"/>
              </w:rPr>
              <w:t>WHO Health Security Learning Platform - Training Materials</w:t>
            </w: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6B6C5E">
              <w:rPr>
                <w:rFonts w:ascii="Calibri" w:eastAsia="Arial" w:hAnsi="Calibri" w:cs="Calibri"/>
                <w:b/>
                <w:bCs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6B6C5E">
              <w:rPr>
                <w:rFonts w:ascii="Calibri" w:eastAsia="Arial" w:hAnsi="Calibri" w:cs="Calibri"/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6B6C5E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</w:t>
            </w:r>
            <w:hyperlink r:id="rId7" w:history="1">
              <w:r w:rsidRPr="006B6C5E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https://extranet.who.int/hslp</w:t>
              </w:r>
            </w:hyperlink>
          </w:p>
          <w:p w:rsidR="006B6C5E" w:rsidRPr="006B6C5E" w:rsidRDefault="006B6C5E" w:rsidP="006B6C5E">
            <w:pPr>
              <w:rPr>
                <w:rFonts w:ascii="Calibri" w:eastAsia="Arial" w:hAnsi="Calibri" w:cs="Calibri"/>
                <w:sz w:val="18"/>
                <w:szCs w:val="18"/>
                <w:lang w:val="fr-FR"/>
              </w:rPr>
            </w:pPr>
            <w:r w:rsidRPr="006B6C5E">
              <w:rPr>
                <w:rFonts w:ascii="Calibri" w:eastAsia="Arial" w:hAnsi="Calibri" w:cs="Calibri"/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modifications et n'utiliserez pas le nom ou l'emblème de l'OMS dans ces documents modifiés.</w:t>
            </w:r>
          </w:p>
          <w:p w:rsidR="006B6C5E" w:rsidRPr="006B6C5E" w:rsidRDefault="006B6C5E" w:rsidP="006B6C5E">
            <w:pPr>
              <w:rPr>
                <w:rFonts w:ascii="Calibri" w:eastAsia="Arial" w:hAnsi="Calibri" w:cs="Calibri"/>
                <w:lang w:val="fr-FR"/>
              </w:rPr>
            </w:pPr>
            <w:r w:rsidRPr="006B6C5E">
              <w:rPr>
                <w:rFonts w:ascii="Calibri" w:eastAsia="Arial" w:hAnsi="Calibri" w:cs="Calibri"/>
                <w:sz w:val="18"/>
                <w:szCs w:val="18"/>
                <w:lang w:val="fr-FR"/>
              </w:rPr>
              <w:t xml:space="preserve">En outre, nous vous invitons à informer l'OMS de toute modification de ces documents que vous utilisez publiquement, à des fins d'archivage et de développement continu, en envoyant un courrier électronique à l'adresse suivante : </w:t>
            </w:r>
            <w:hyperlink r:id="rId8" w:history="1">
              <w:r w:rsidRPr="006B6C5E">
                <w:rPr>
                  <w:rFonts w:ascii="Calibri" w:eastAsia="Arial" w:hAnsi="Calibri" w:cs="Calibri"/>
                  <w:color w:val="0000FF"/>
                  <w:sz w:val="18"/>
                  <w:szCs w:val="18"/>
                  <w:u w:val="single"/>
                  <w:lang w:val="fr-FR"/>
                </w:rPr>
                <w:t>ihrhrt@who.int</w:t>
              </w:r>
            </w:hyperlink>
            <w:r w:rsidRPr="006B6C5E">
              <w:rPr>
                <w:rFonts w:ascii="Calibri" w:eastAsia="Arial" w:hAnsi="Calibri" w:cs="Calibri"/>
                <w:sz w:val="22"/>
                <w:szCs w:val="22"/>
                <w:lang w:val="fr-FR"/>
              </w:rPr>
              <w:t xml:space="preserve"> </w:t>
            </w:r>
          </w:p>
        </w:tc>
      </w:tr>
    </w:tbl>
    <w:p w:rsidR="006B6C5E" w:rsidRPr="00061C2B" w:rsidRDefault="006B6C5E" w:rsidP="00E67B8F">
      <w:pPr>
        <w:autoSpaceDE w:val="0"/>
        <w:autoSpaceDN w:val="0"/>
        <w:adjustRightInd w:val="0"/>
        <w:ind w:firstLine="720"/>
        <w:jc w:val="center"/>
        <w:rPr>
          <w:rFonts w:ascii="Century Gothic" w:hAnsi="Century Gothic"/>
          <w:sz w:val="20"/>
          <w:szCs w:val="20"/>
          <w:lang w:val="fr-FR"/>
        </w:rPr>
      </w:pPr>
    </w:p>
    <w:sectPr w:rsidR="006B6C5E" w:rsidRPr="00061C2B">
      <w:headerReference w:type="default" r:id="rId9"/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56AE" w:rsidRDefault="008456AE">
      <w:r>
        <w:separator/>
      </w:r>
    </w:p>
  </w:endnote>
  <w:endnote w:type="continuationSeparator" w:id="0">
    <w:p w:rsidR="008456AE" w:rsidRDefault="00845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565797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275C6" w:rsidRDefault="00C241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C5E" w:rsidRPr="006B6C5E">
          <w:rPr>
            <w:noProof/>
            <w:lang w:val="fr-FR"/>
          </w:rPr>
          <w:t>3</w:t>
        </w:r>
        <w:r>
          <w:rPr>
            <w:noProof/>
          </w:rPr>
          <w:fldChar w:fldCharType="end"/>
        </w:r>
      </w:p>
    </w:sdtContent>
  </w:sdt>
  <w:p w:rsidR="008275C6" w:rsidRDefault="006B6C5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56AE" w:rsidRDefault="008456AE">
      <w:r>
        <w:separator/>
      </w:r>
    </w:p>
  </w:footnote>
  <w:footnote w:type="continuationSeparator" w:id="0">
    <w:p w:rsidR="008456AE" w:rsidRDefault="008456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6750858"/>
      <w:docPartObj>
        <w:docPartGallery w:val="Page Numbers (Top of Page)"/>
        <w:docPartUnique/>
      </w:docPartObj>
    </w:sdtPr>
    <w:sdtEndPr>
      <w:rPr>
        <w:noProof/>
      </w:rPr>
    </w:sdtEndPr>
    <w:sdtContent>
      <w:p w:rsidR="00E12422" w:rsidRDefault="00C241C3">
        <w:pPr>
          <w:pStyle w:val="Head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6C5E" w:rsidRPr="006B6C5E">
          <w:rPr>
            <w:noProof/>
            <w:lang w:val="fr-FR"/>
          </w:rPr>
          <w:t>3</w:t>
        </w:r>
        <w:r>
          <w:rPr>
            <w:noProof/>
          </w:rPr>
          <w:fldChar w:fldCharType="end"/>
        </w:r>
      </w:p>
    </w:sdtContent>
  </w:sdt>
  <w:p w:rsidR="00E12422" w:rsidRDefault="006B6C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857B3"/>
    <w:multiLevelType w:val="hybridMultilevel"/>
    <w:tmpl w:val="75AE0C22"/>
    <w:lvl w:ilvl="0" w:tplc="0FAC88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10B5A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842040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F6930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3EA8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29E254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0CE7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A4B9E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7C44E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2C34C7"/>
    <w:multiLevelType w:val="hybridMultilevel"/>
    <w:tmpl w:val="B198B378"/>
    <w:lvl w:ilvl="0" w:tplc="DB54B3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52B18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3E5E2DD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CEF6D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6A01B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C09F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CAB5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79E1B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9E87B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1236E8"/>
    <w:multiLevelType w:val="hybridMultilevel"/>
    <w:tmpl w:val="210C0E76"/>
    <w:lvl w:ilvl="0" w:tplc="4D10CA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1C4EB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4BAC2D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EC6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22E9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F895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0A9B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18B73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C471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D11"/>
    <w:rsid w:val="00061C2B"/>
    <w:rsid w:val="00073565"/>
    <w:rsid w:val="001F0CD1"/>
    <w:rsid w:val="002C225C"/>
    <w:rsid w:val="003C0394"/>
    <w:rsid w:val="00473BDA"/>
    <w:rsid w:val="004D4D11"/>
    <w:rsid w:val="006B6C5E"/>
    <w:rsid w:val="008456AE"/>
    <w:rsid w:val="00A44481"/>
    <w:rsid w:val="00C241C3"/>
    <w:rsid w:val="00E67B8F"/>
    <w:rsid w:val="00EB5DDA"/>
    <w:rsid w:val="00F77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1913EFE5"/>
  <w15:docId w15:val="{3C49165E-30FE-4DF5-AE9E-112AA9E58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12422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E1242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E12422"/>
    <w:pPr>
      <w:keepNext/>
      <w:autoSpaceDE w:val="0"/>
      <w:autoSpaceDN w:val="0"/>
      <w:adjustRightInd w:val="0"/>
      <w:outlineLvl w:val="6"/>
    </w:pPr>
    <w:rPr>
      <w:b/>
      <w:bCs/>
      <w:sz w:val="16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12422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Heading7Char">
    <w:name w:val="Heading 7 Char"/>
    <w:basedOn w:val="DefaultParagraphFont"/>
    <w:link w:val="Heading7"/>
    <w:uiPriority w:val="9"/>
    <w:rsid w:val="00E12422"/>
    <w:rPr>
      <w:rFonts w:ascii="Times New Roman" w:eastAsia="Calibri" w:hAnsi="Times New Roman" w:cs="Times New Roman"/>
      <w:b/>
      <w:bCs/>
      <w:sz w:val="16"/>
      <w:szCs w:val="18"/>
    </w:rPr>
  </w:style>
  <w:style w:type="paragraph" w:customStyle="1" w:styleId="text">
    <w:name w:val="text"/>
    <w:rsid w:val="00E12422"/>
    <w:pPr>
      <w:autoSpaceDE w:val="0"/>
      <w:autoSpaceDN w:val="0"/>
      <w:adjustRightInd w:val="0"/>
      <w:spacing w:after="0" w:line="288" w:lineRule="auto"/>
      <w:ind w:left="2160"/>
    </w:pPr>
    <w:rPr>
      <w:rFonts w:ascii="Times New Roman" w:eastAsia="Calibri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E12422"/>
    <w:pPr>
      <w:ind w:left="720"/>
    </w:pPr>
  </w:style>
  <w:style w:type="paragraph" w:styleId="Header">
    <w:name w:val="header"/>
    <w:basedOn w:val="Normal"/>
    <w:link w:val="HeaderChar"/>
    <w:uiPriority w:val="99"/>
    <w:unhideWhenUsed/>
    <w:rsid w:val="00E1242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12422"/>
    <w:rPr>
      <w:rFonts w:ascii="Times New Roman" w:eastAsia="Calibri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1242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2422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6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hrhrt@who.in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984</Words>
  <Characters>5610</Characters>
  <Application>Microsoft Office Word</Application>
  <DocSecurity>0</DocSecurity>
  <Lines>46</Lines>
  <Paragraphs>13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6581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gaturukup</dc:creator>
  <cp:lastModifiedBy>GOMEZ, Paula</cp:lastModifiedBy>
  <cp:revision>5</cp:revision>
  <dcterms:created xsi:type="dcterms:W3CDTF">2015-11-03T19:56:00Z</dcterms:created>
  <dcterms:modified xsi:type="dcterms:W3CDTF">2018-06-13T13:40:00Z</dcterms:modified>
</cp:coreProperties>
</file>